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playbook template</w:t>
      </w:r>
    </w:p>
    <w:p w:rsidR="00000000" w:rsidDel="00000000" w:rsidP="00000000" w:rsidRDefault="00000000" w:rsidRPr="00000000" w14:paraId="00000002">
      <w:pPr>
        <w:spacing w:after="200" w:line="360" w:lineRule="auto"/>
        <w:rPr>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sales playbook is a record of objectives, product details, and the specific procedure you want reps to follow during the sales process. Maybe there are certain questions you want them to ask, content you want them to share, or particular pieces of information you need them to reference. </w:t>
      </w:r>
    </w:p>
    <w:p w:rsidR="00000000" w:rsidDel="00000000" w:rsidP="00000000" w:rsidRDefault="00000000" w:rsidRPr="00000000" w14:paraId="00000004">
      <w:pPr>
        <w:rPr/>
      </w:pPr>
      <w:r w:rsidDel="00000000" w:rsidR="00000000" w:rsidRPr="00000000">
        <w:rPr>
          <w:rtl w:val="0"/>
        </w:rPr>
        <w:t xml:space="preserve">To be truly effective, it should be easy for reps to access, clear to understand and fit into their existing workflows. The idea is that they regard it as a useful resource they can reference any time they are interacting with a contact. It can be as broad or specific as you want it to be - you don’t need to include all of the sections in this template if they’re not relevant to your business - but treat it as a ‘living document’ that can be updated or amended to respond to changes in business policies, new product offerings, reps’ feedback, etc.</w:t>
      </w:r>
    </w:p>
    <w:p w:rsidR="00000000" w:rsidDel="00000000" w:rsidP="00000000" w:rsidRDefault="00000000" w:rsidRPr="00000000" w14:paraId="00000005">
      <w:pPr>
        <w:spacing w:after="120" w:before="240" w:lineRule="auto"/>
        <w:rPr>
          <w:color w:val="434343"/>
        </w:rPr>
      </w:pPr>
      <w:r w:rsidDel="00000000" w:rsidR="00000000" w:rsidRPr="00000000">
        <w:rPr>
          <w:rtl w:val="0"/>
        </w:rPr>
      </w:r>
    </w:p>
    <w:tbl>
      <w:tblPr>
        <w:tblStyle w:val="Table1"/>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0"/>
        <w:tblGridChange w:id="0">
          <w:tblGrid>
            <w:gridCol w:w="1035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6">
            <w:pPr>
              <w:spacing w:after="120" w:before="240" w:line="360" w:lineRule="auto"/>
              <w:rPr>
                <w:b w:val="1"/>
                <w:color w:val="ffffff"/>
              </w:rPr>
            </w:pPr>
            <w:r w:rsidDel="00000000" w:rsidR="00000000" w:rsidRPr="00000000">
              <w:rPr>
                <w:b w:val="1"/>
                <w:color w:val="ffffff"/>
                <w:rtl w:val="0"/>
              </w:rPr>
              <w:t xml:space="preserve">1. Company overview</w:t>
            </w:r>
          </w:p>
        </w:tc>
      </w:tr>
      <w:tr>
        <w:trPr>
          <w:cantSplit w:val="0"/>
          <w:trHeight w:val="228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numPr>
                <w:ilvl w:val="0"/>
                <w:numId w:val="4"/>
              </w:numPr>
              <w:spacing w:after="200" w:before="0" w:line="360" w:lineRule="auto"/>
              <w:ind w:left="720" w:hanging="360"/>
              <w:rPr>
                <w:color w:val="434343"/>
                <w:u w:val="none"/>
              </w:rPr>
            </w:pPr>
            <w:r w:rsidDel="00000000" w:rsidR="00000000" w:rsidRPr="00000000">
              <w:rPr>
                <w:color w:val="434343"/>
                <w:rtl w:val="0"/>
              </w:rPr>
              <w:t xml:space="preserve"> Key facts and milestones; vision (where the company wants to be in the long-term); growth strategies and tactics; company structure.</w:t>
            </w:r>
          </w:p>
          <w:p w:rsidR="00000000" w:rsidDel="00000000" w:rsidP="00000000" w:rsidRDefault="00000000" w:rsidRPr="00000000" w14:paraId="00000008">
            <w:pPr>
              <w:numPr>
                <w:ilvl w:val="0"/>
                <w:numId w:val="4"/>
              </w:numPr>
              <w:spacing w:after="200" w:before="0" w:line="360" w:lineRule="auto"/>
              <w:ind w:left="720" w:hanging="360"/>
              <w:rPr>
                <w:color w:val="434343"/>
                <w:u w:val="none"/>
              </w:rPr>
            </w:pPr>
            <w:r w:rsidDel="00000000" w:rsidR="00000000" w:rsidRPr="00000000">
              <w:rPr>
                <w:color w:val="434343"/>
                <w:rtl w:val="0"/>
              </w:rPr>
              <w:t xml:space="preserve">Summary of roles and responsibilities of sales reps; objectives; incentives; career path outline.</w:t>
            </w:r>
          </w:p>
          <w:p w:rsidR="00000000" w:rsidDel="00000000" w:rsidP="00000000" w:rsidRDefault="00000000" w:rsidRPr="00000000" w14:paraId="00000009">
            <w:pPr>
              <w:numPr>
                <w:ilvl w:val="0"/>
                <w:numId w:val="4"/>
              </w:numPr>
              <w:spacing w:after="200" w:line="360" w:lineRule="auto"/>
              <w:ind w:left="720" w:hanging="360"/>
              <w:rPr>
                <w:color w:val="434343"/>
                <w:u w:val="none"/>
              </w:rPr>
            </w:pPr>
            <w:r w:rsidDel="00000000" w:rsidR="00000000" w:rsidRPr="00000000">
              <w:rPr>
                <w:color w:val="434343"/>
                <w:rtl w:val="0"/>
              </w:rPr>
              <w:t xml:space="preserve">Who to go to for support.</w:t>
            </w:r>
          </w:p>
          <w:p w:rsidR="00000000" w:rsidDel="00000000" w:rsidP="00000000" w:rsidRDefault="00000000" w:rsidRPr="00000000" w14:paraId="0000000A">
            <w:pPr>
              <w:spacing w:after="200" w:line="360" w:lineRule="auto"/>
              <w:rPr>
                <w:color w:val="434343"/>
              </w:rPr>
            </w:pPr>
            <w:r w:rsidDel="00000000" w:rsidR="00000000" w:rsidRPr="00000000">
              <w:rPr>
                <w:rtl w:val="0"/>
              </w:rPr>
            </w:r>
          </w:p>
          <w:p w:rsidR="00000000" w:rsidDel="00000000" w:rsidP="00000000" w:rsidRDefault="00000000" w:rsidRPr="00000000" w14:paraId="0000000B">
            <w:pPr>
              <w:spacing w:after="200" w:line="360" w:lineRule="auto"/>
              <w:rPr>
                <w:color w:val="434343"/>
              </w:rPr>
            </w:pPr>
            <w:r w:rsidDel="00000000" w:rsidR="00000000" w:rsidRPr="00000000">
              <w:rPr>
                <w:rtl w:val="0"/>
              </w:rPr>
            </w:r>
          </w:p>
          <w:p w:rsidR="00000000" w:rsidDel="00000000" w:rsidP="00000000" w:rsidRDefault="00000000" w:rsidRPr="00000000" w14:paraId="0000000C">
            <w:pPr>
              <w:spacing w:after="200" w:line="360" w:lineRule="auto"/>
              <w:rPr>
                <w:color w:val="434343"/>
              </w:rPr>
            </w:pPr>
            <w:r w:rsidDel="00000000" w:rsidR="00000000" w:rsidRPr="00000000">
              <w:rPr>
                <w:rtl w:val="0"/>
              </w:rPr>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D">
            <w:pPr>
              <w:spacing w:after="120" w:before="240" w:line="360" w:lineRule="auto"/>
              <w:rPr>
                <w:b w:val="1"/>
                <w:color w:val="ffffff"/>
              </w:rPr>
            </w:pPr>
            <w:r w:rsidDel="00000000" w:rsidR="00000000" w:rsidRPr="00000000">
              <w:rPr>
                <w:b w:val="1"/>
                <w:color w:val="ffffff"/>
                <w:rtl w:val="0"/>
              </w:rPr>
              <w:t xml:space="preserve">2. Product portfolio</w:t>
            </w:r>
          </w:p>
        </w:tc>
      </w:tr>
      <w:tr>
        <w:trPr>
          <w:cantSplit w:val="0"/>
          <w:trHeight w:val="237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numPr>
                <w:ilvl w:val="0"/>
                <w:numId w:val="9"/>
              </w:numPr>
              <w:spacing w:after="200" w:before="0" w:line="360" w:lineRule="auto"/>
              <w:ind w:left="720" w:hanging="360"/>
              <w:rPr>
                <w:color w:val="434343"/>
                <w:u w:val="none"/>
              </w:rPr>
            </w:pPr>
            <w:r w:rsidDel="00000000" w:rsidR="00000000" w:rsidRPr="00000000">
              <w:rPr>
                <w:color w:val="434343"/>
                <w:rtl w:val="0"/>
              </w:rPr>
              <w:t xml:space="preserve"> Details of every product or service your salespeople are responsible for selling: benefits; core value offerings for buyers and end users.</w:t>
            </w:r>
          </w:p>
          <w:p w:rsidR="00000000" w:rsidDel="00000000" w:rsidP="00000000" w:rsidRDefault="00000000" w:rsidRPr="00000000" w14:paraId="0000000F">
            <w:pPr>
              <w:numPr>
                <w:ilvl w:val="0"/>
                <w:numId w:val="9"/>
              </w:numPr>
              <w:spacing w:after="200" w:line="360" w:lineRule="auto"/>
              <w:ind w:left="720" w:hanging="360"/>
              <w:rPr>
                <w:color w:val="434343"/>
                <w:u w:val="none"/>
              </w:rPr>
            </w:pPr>
            <w:r w:rsidDel="00000000" w:rsidR="00000000" w:rsidRPr="00000000">
              <w:rPr>
                <w:color w:val="434343"/>
                <w:rtl w:val="0"/>
              </w:rPr>
              <w:t xml:space="preserve">Consider creating a playbook per product if your offerings are significantly varied and require separate sales processes.</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0">
            <w:pPr>
              <w:spacing w:after="120" w:before="240" w:line="360" w:lineRule="auto"/>
              <w:rPr>
                <w:b w:val="1"/>
                <w:color w:val="ffffff"/>
              </w:rPr>
            </w:pPr>
            <w:r w:rsidDel="00000000" w:rsidR="00000000" w:rsidRPr="00000000">
              <w:rPr>
                <w:b w:val="1"/>
                <w:color w:val="ffffff"/>
                <w:rtl w:val="0"/>
              </w:rPr>
              <w:t xml:space="preserve">3. Market insights</w:t>
            </w:r>
          </w:p>
        </w:tc>
      </w:tr>
      <w:tr>
        <w:trPr>
          <w:cantSplit w:val="0"/>
          <w:trHeight w:val="165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numPr>
                <w:ilvl w:val="0"/>
                <w:numId w:val="6"/>
              </w:numPr>
              <w:spacing w:after="200" w:before="0" w:line="360" w:lineRule="auto"/>
              <w:ind w:left="720" w:hanging="360"/>
              <w:rPr>
                <w:color w:val="434343"/>
                <w:u w:val="none"/>
              </w:rPr>
            </w:pPr>
            <w:r w:rsidDel="00000000" w:rsidR="00000000" w:rsidRPr="00000000">
              <w:rPr>
                <w:color w:val="434343"/>
                <w:rtl w:val="0"/>
              </w:rPr>
              <w:t xml:space="preserve">Industry analysis, including related industries or verticals.</w:t>
            </w:r>
          </w:p>
          <w:p w:rsidR="00000000" w:rsidDel="00000000" w:rsidP="00000000" w:rsidRDefault="00000000" w:rsidRPr="00000000" w14:paraId="00000012">
            <w:pPr>
              <w:numPr>
                <w:ilvl w:val="0"/>
                <w:numId w:val="6"/>
              </w:numPr>
              <w:spacing w:after="200" w:line="360" w:lineRule="auto"/>
              <w:ind w:left="720" w:hanging="360"/>
              <w:rPr>
                <w:color w:val="434343"/>
                <w:u w:val="none"/>
              </w:rPr>
            </w:pPr>
            <w:r w:rsidDel="00000000" w:rsidR="00000000" w:rsidRPr="00000000">
              <w:rPr>
                <w:color w:val="434343"/>
                <w:rtl w:val="0"/>
              </w:rPr>
              <w:t xml:space="preserve">Competitor research and key differentiators.</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3">
            <w:pPr>
              <w:spacing w:after="120" w:before="240" w:line="360" w:lineRule="auto"/>
              <w:rPr>
                <w:b w:val="1"/>
                <w:color w:val="ffffff"/>
              </w:rPr>
            </w:pPr>
            <w:r w:rsidDel="00000000" w:rsidR="00000000" w:rsidRPr="00000000">
              <w:rPr>
                <w:b w:val="1"/>
                <w:color w:val="ffffff"/>
                <w:rtl w:val="0"/>
              </w:rPr>
              <w:t xml:space="preserve">4. Buyer personas or ideal customer profiles</w:t>
            </w:r>
          </w:p>
        </w:tc>
      </w:tr>
      <w:tr>
        <w:trPr>
          <w:cantSplit w:val="0"/>
          <w:trHeight w:val="189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numPr>
                <w:ilvl w:val="0"/>
                <w:numId w:val="8"/>
              </w:numPr>
              <w:spacing w:after="200" w:before="0" w:line="360" w:lineRule="auto"/>
              <w:ind w:left="720" w:hanging="360"/>
              <w:rPr>
                <w:color w:val="434343"/>
                <w:u w:val="none"/>
              </w:rPr>
            </w:pPr>
            <w:r w:rsidDel="00000000" w:rsidR="00000000" w:rsidRPr="00000000">
              <w:rPr>
                <w:color w:val="434343"/>
                <w:rtl w:val="0"/>
              </w:rPr>
              <w:t xml:space="preserve">Needs and challenges; qualified lead definition (eg, has sufficient budget; has decision-making authority).</w:t>
            </w:r>
          </w:p>
          <w:p w:rsidR="00000000" w:rsidDel="00000000" w:rsidP="00000000" w:rsidRDefault="00000000" w:rsidRPr="00000000" w14:paraId="00000015">
            <w:pPr>
              <w:numPr>
                <w:ilvl w:val="0"/>
                <w:numId w:val="8"/>
              </w:numPr>
              <w:spacing w:after="200" w:line="360" w:lineRule="auto"/>
              <w:ind w:left="720" w:hanging="360"/>
              <w:rPr>
                <w:color w:val="434343"/>
                <w:u w:val="none"/>
              </w:rPr>
            </w:pPr>
            <w:r w:rsidDel="00000000" w:rsidR="00000000" w:rsidRPr="00000000">
              <w:rPr>
                <w:color w:val="434343"/>
                <w:rtl w:val="0"/>
              </w:rPr>
              <w:t xml:space="preserve">Discovery methods for lead identification.</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6">
            <w:pPr>
              <w:spacing w:after="120" w:before="240" w:line="360" w:lineRule="auto"/>
              <w:rPr>
                <w:b w:val="1"/>
                <w:color w:val="ffffff"/>
              </w:rPr>
            </w:pPr>
            <w:r w:rsidDel="00000000" w:rsidR="00000000" w:rsidRPr="00000000">
              <w:rPr>
                <w:b w:val="1"/>
                <w:color w:val="ffffff"/>
                <w:rtl w:val="0"/>
              </w:rPr>
              <w:t xml:space="preserve">5. Sales methodology</w:t>
            </w:r>
          </w:p>
        </w:tc>
      </w:tr>
      <w:tr>
        <w:trPr>
          <w:cantSplit w:val="0"/>
          <w:trHeight w:val="153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120" w:line="360" w:lineRule="auto"/>
              <w:ind w:left="0" w:firstLine="0"/>
              <w:rPr>
                <w:color w:val="434343"/>
              </w:rPr>
            </w:pPr>
            <w:r w:rsidDel="00000000" w:rsidR="00000000" w:rsidRPr="00000000">
              <w:rPr>
                <w:color w:val="434343"/>
                <w:rtl w:val="0"/>
              </w:rPr>
              <w:t xml:space="preserve">For example, ABM or Challenger Sale. Who is involved (the rep, their manager, the prospect, the buying authority); key deliverables.</w:t>
            </w:r>
          </w:p>
          <w:p w:rsidR="00000000" w:rsidDel="00000000" w:rsidP="00000000" w:rsidRDefault="00000000" w:rsidRPr="00000000" w14:paraId="00000018">
            <w:pPr>
              <w:spacing w:after="120" w:line="360" w:lineRule="auto"/>
              <w:ind w:left="0" w:firstLine="0"/>
              <w:rPr>
                <w:color w:val="434343"/>
              </w:rPr>
            </w:pPr>
            <w:r w:rsidDel="00000000" w:rsidR="00000000" w:rsidRPr="00000000">
              <w:rPr>
                <w:rtl w:val="0"/>
              </w:rPr>
            </w:r>
          </w:p>
          <w:p w:rsidR="00000000" w:rsidDel="00000000" w:rsidP="00000000" w:rsidRDefault="00000000" w:rsidRPr="00000000" w14:paraId="00000019">
            <w:pPr>
              <w:spacing w:after="120" w:line="360" w:lineRule="auto"/>
              <w:ind w:left="0" w:firstLine="0"/>
              <w:rPr>
                <w:color w:val="434343"/>
              </w:rPr>
            </w:pPr>
            <w:r w:rsidDel="00000000" w:rsidR="00000000" w:rsidRPr="00000000">
              <w:rPr>
                <w:rtl w:val="0"/>
              </w:rPr>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A">
            <w:pPr>
              <w:spacing w:after="120" w:before="240" w:line="360" w:lineRule="auto"/>
              <w:rPr>
                <w:b w:val="1"/>
                <w:color w:val="ffffff"/>
              </w:rPr>
            </w:pPr>
            <w:r w:rsidDel="00000000" w:rsidR="00000000" w:rsidRPr="00000000">
              <w:rPr>
                <w:b w:val="1"/>
                <w:color w:val="ffffff"/>
                <w:rtl w:val="0"/>
              </w:rPr>
              <w:t xml:space="preserve">6. Sales cadence</w:t>
            </w:r>
          </w:p>
        </w:tc>
      </w:tr>
      <w:tr>
        <w:trPr>
          <w:cantSplit w:val="0"/>
          <w:trHeight w:val="639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120" w:line="360" w:lineRule="auto"/>
              <w:ind w:left="1080" w:firstLine="0"/>
              <w:rPr>
                <w:color w:val="434343"/>
              </w:rPr>
            </w:pPr>
            <w:r w:rsidDel="00000000" w:rsidR="00000000" w:rsidRPr="00000000">
              <w:rPr>
                <w:color w:val="434343"/>
                <w:rtl w:val="0"/>
              </w:rPr>
              <w:t xml:space="preserve"> </w:t>
            </w:r>
          </w:p>
          <w:p w:rsidR="00000000" w:rsidDel="00000000" w:rsidP="00000000" w:rsidRDefault="00000000" w:rsidRPr="00000000" w14:paraId="0000001C">
            <w:pPr>
              <w:spacing w:after="120" w:line="360" w:lineRule="auto"/>
              <w:rPr>
                <w:color w:val="434343"/>
              </w:rPr>
            </w:pPr>
            <w:r w:rsidDel="00000000" w:rsidR="00000000" w:rsidRPr="00000000">
              <w:rPr>
                <w:color w:val="434343"/>
                <w:rtl w:val="0"/>
              </w:rPr>
              <w:t xml:space="preserve">The sequence of actions to take towards a sale, from first connect to close: every contact attempt a salesperson makes with a prospect, including emails, phone calls, voicemails, and social media interactions (ie, multi-touch).</w:t>
            </w:r>
          </w:p>
          <w:p w:rsidR="00000000" w:rsidDel="00000000" w:rsidP="00000000" w:rsidRDefault="00000000" w:rsidRPr="00000000" w14:paraId="0000001D">
            <w:pPr>
              <w:spacing w:after="0" w:line="360" w:lineRule="auto"/>
              <w:rPr>
                <w:color w:val="434343"/>
                <w:highlight w:val="white"/>
              </w:rPr>
            </w:pPr>
            <w:r w:rsidDel="00000000" w:rsidR="00000000" w:rsidRPr="00000000">
              <w:rPr>
                <w:color w:val="434343"/>
                <w:highlight w:val="white"/>
                <w:rtl w:val="0"/>
              </w:rPr>
              <w:t xml:space="preserve">For example:</w:t>
              <w:br w:type="textWrapping"/>
            </w:r>
          </w:p>
          <w:p w:rsidR="00000000" w:rsidDel="00000000" w:rsidP="00000000" w:rsidRDefault="00000000" w:rsidRPr="00000000" w14:paraId="0000001E">
            <w:pPr>
              <w:widowControl w:val="0"/>
              <w:spacing w:after="200" w:before="0" w:line="360" w:lineRule="auto"/>
              <w:rPr>
                <w:i w:val="1"/>
                <w:color w:val="434343"/>
              </w:rPr>
            </w:pPr>
            <w:r w:rsidDel="00000000" w:rsidR="00000000" w:rsidRPr="00000000">
              <w:rPr>
                <w:b w:val="1"/>
                <w:i w:val="1"/>
                <w:color w:val="434343"/>
                <w:rtl w:val="0"/>
              </w:rPr>
              <w:t xml:space="preserve">Day 1: </w:t>
            </w:r>
            <w:r w:rsidDel="00000000" w:rsidR="00000000" w:rsidRPr="00000000">
              <w:rPr>
                <w:i w:val="1"/>
                <w:color w:val="434343"/>
                <w:rtl w:val="0"/>
              </w:rPr>
              <w:t xml:space="preserve">Email in the morning</w:t>
            </w:r>
          </w:p>
          <w:p w:rsidR="00000000" w:rsidDel="00000000" w:rsidP="00000000" w:rsidRDefault="00000000" w:rsidRPr="00000000" w14:paraId="0000001F">
            <w:pPr>
              <w:widowControl w:val="0"/>
              <w:spacing w:after="200" w:before="0" w:line="360" w:lineRule="auto"/>
              <w:rPr>
                <w:i w:val="1"/>
                <w:color w:val="434343"/>
              </w:rPr>
            </w:pPr>
            <w:r w:rsidDel="00000000" w:rsidR="00000000" w:rsidRPr="00000000">
              <w:rPr>
                <w:b w:val="1"/>
                <w:i w:val="1"/>
                <w:color w:val="434343"/>
                <w:rtl w:val="0"/>
              </w:rPr>
              <w:t xml:space="preserve">Day 3: </w:t>
            </w:r>
            <w:r w:rsidDel="00000000" w:rsidR="00000000" w:rsidRPr="00000000">
              <w:rPr>
                <w:i w:val="1"/>
                <w:color w:val="434343"/>
                <w:rtl w:val="0"/>
              </w:rPr>
              <w:t xml:space="preserve">Call in the afternoon</w:t>
            </w:r>
          </w:p>
          <w:p w:rsidR="00000000" w:rsidDel="00000000" w:rsidP="00000000" w:rsidRDefault="00000000" w:rsidRPr="00000000" w14:paraId="00000020">
            <w:pPr>
              <w:widowControl w:val="0"/>
              <w:spacing w:after="200" w:before="0" w:line="360" w:lineRule="auto"/>
              <w:rPr>
                <w:i w:val="1"/>
                <w:color w:val="434343"/>
              </w:rPr>
            </w:pPr>
            <w:r w:rsidDel="00000000" w:rsidR="00000000" w:rsidRPr="00000000">
              <w:rPr>
                <w:b w:val="1"/>
                <w:i w:val="1"/>
                <w:color w:val="434343"/>
                <w:rtl w:val="0"/>
              </w:rPr>
              <w:t xml:space="preserve">Day 5:</w:t>
            </w:r>
            <w:r w:rsidDel="00000000" w:rsidR="00000000" w:rsidRPr="00000000">
              <w:rPr>
                <w:i w:val="1"/>
                <w:color w:val="434343"/>
                <w:rtl w:val="0"/>
              </w:rPr>
              <w:t xml:space="preserve"> Call in the morning, call with a voicemail in the afternoon</w:t>
            </w:r>
          </w:p>
          <w:p w:rsidR="00000000" w:rsidDel="00000000" w:rsidP="00000000" w:rsidRDefault="00000000" w:rsidRPr="00000000" w14:paraId="00000021">
            <w:pPr>
              <w:widowControl w:val="0"/>
              <w:spacing w:after="200" w:before="0" w:line="360" w:lineRule="auto"/>
              <w:rPr>
                <w:i w:val="1"/>
                <w:color w:val="434343"/>
              </w:rPr>
            </w:pPr>
            <w:r w:rsidDel="00000000" w:rsidR="00000000" w:rsidRPr="00000000">
              <w:rPr>
                <w:b w:val="1"/>
                <w:i w:val="1"/>
                <w:color w:val="434343"/>
                <w:rtl w:val="0"/>
              </w:rPr>
              <w:t xml:space="preserve">Day 7: </w:t>
            </w:r>
            <w:r w:rsidDel="00000000" w:rsidR="00000000" w:rsidRPr="00000000">
              <w:rPr>
                <w:i w:val="1"/>
                <w:color w:val="434343"/>
                <w:rtl w:val="0"/>
              </w:rPr>
              <w:t xml:space="preserve">Second email in the morning, call in the afternoon with a voicemail</w:t>
            </w:r>
          </w:p>
          <w:p w:rsidR="00000000" w:rsidDel="00000000" w:rsidP="00000000" w:rsidRDefault="00000000" w:rsidRPr="00000000" w14:paraId="00000022">
            <w:pPr>
              <w:widowControl w:val="0"/>
              <w:spacing w:after="200" w:before="0" w:line="360" w:lineRule="auto"/>
              <w:rPr>
                <w:i w:val="1"/>
                <w:color w:val="434343"/>
              </w:rPr>
            </w:pPr>
            <w:r w:rsidDel="00000000" w:rsidR="00000000" w:rsidRPr="00000000">
              <w:rPr>
                <w:b w:val="1"/>
                <w:i w:val="1"/>
                <w:color w:val="434343"/>
                <w:rtl w:val="0"/>
              </w:rPr>
              <w:t xml:space="preserve">Day 10:  </w:t>
            </w:r>
            <w:r w:rsidDel="00000000" w:rsidR="00000000" w:rsidRPr="00000000">
              <w:rPr>
                <w:i w:val="1"/>
                <w:color w:val="434343"/>
                <w:rtl w:val="0"/>
              </w:rPr>
              <w:t xml:space="preserve">Third email and call in the morning</w:t>
              <w:br w:type="textWrapping"/>
            </w:r>
          </w:p>
          <w:p w:rsidR="00000000" w:rsidDel="00000000" w:rsidP="00000000" w:rsidRDefault="00000000" w:rsidRPr="00000000" w14:paraId="00000023">
            <w:pPr>
              <w:spacing w:after="120" w:line="360" w:lineRule="auto"/>
              <w:rPr>
                <w:color w:val="434343"/>
              </w:rPr>
            </w:pPr>
            <w:r w:rsidDel="00000000" w:rsidR="00000000" w:rsidRPr="00000000">
              <w:rPr>
                <w:color w:val="434343"/>
                <w:rtl w:val="0"/>
              </w:rPr>
              <w:t xml:space="preserve">Also, when to pursue opportunities and when to let go and move on.</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4">
            <w:pPr>
              <w:spacing w:after="120" w:before="240" w:line="360" w:lineRule="auto"/>
              <w:rPr>
                <w:b w:val="1"/>
                <w:color w:val="ffffff"/>
              </w:rPr>
            </w:pPr>
            <w:r w:rsidDel="00000000" w:rsidR="00000000" w:rsidRPr="00000000">
              <w:rPr>
                <w:b w:val="1"/>
                <w:color w:val="ffffff"/>
                <w:rtl w:val="0"/>
              </w:rPr>
              <w:t xml:space="preserve">7. Tech stack guidelines and best practice</w:t>
            </w:r>
          </w:p>
        </w:tc>
      </w:tr>
      <w:tr>
        <w:trPr>
          <w:cantSplit w:val="0"/>
          <w:trHeight w:val="86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numPr>
                <w:ilvl w:val="0"/>
                <w:numId w:val="10"/>
              </w:numPr>
              <w:spacing w:after="200" w:before="0" w:line="360" w:lineRule="auto"/>
              <w:ind w:left="720" w:hanging="360"/>
              <w:rPr>
                <w:color w:val="434343"/>
              </w:rPr>
            </w:pPr>
            <w:r w:rsidDel="00000000" w:rsidR="00000000" w:rsidRPr="00000000">
              <w:rPr>
                <w:color w:val="434343"/>
                <w:rtl w:val="0"/>
              </w:rPr>
              <w:t xml:space="preserve">Which tools they need to use (eg, CRM, project management apps) at specific touchpoints.</w:t>
            </w:r>
          </w:p>
          <w:p w:rsidR="00000000" w:rsidDel="00000000" w:rsidP="00000000" w:rsidRDefault="00000000" w:rsidRPr="00000000" w14:paraId="00000026">
            <w:pPr>
              <w:numPr>
                <w:ilvl w:val="0"/>
                <w:numId w:val="10"/>
              </w:numPr>
              <w:spacing w:after="200" w:before="0" w:line="360" w:lineRule="auto"/>
              <w:ind w:left="720" w:hanging="360"/>
              <w:rPr>
                <w:color w:val="434343"/>
              </w:rPr>
            </w:pPr>
            <w:r w:rsidDel="00000000" w:rsidR="00000000" w:rsidRPr="00000000">
              <w:rPr>
                <w:color w:val="434343"/>
                <w:rtl w:val="0"/>
              </w:rPr>
              <w:t xml:space="preserve">Key features for managing and tracking leads, and how/when to move opportunities through each stage.</w:t>
            </w:r>
          </w:p>
          <w:p w:rsidR="00000000" w:rsidDel="00000000" w:rsidP="00000000" w:rsidRDefault="00000000" w:rsidRPr="00000000" w14:paraId="00000027">
            <w:pPr>
              <w:numPr>
                <w:ilvl w:val="0"/>
                <w:numId w:val="10"/>
              </w:numPr>
              <w:spacing w:after="200" w:before="0" w:line="360" w:lineRule="auto"/>
              <w:ind w:left="720" w:hanging="360"/>
              <w:rPr>
                <w:color w:val="434343"/>
              </w:rPr>
            </w:pPr>
            <w:r w:rsidDel="00000000" w:rsidR="00000000" w:rsidRPr="00000000">
              <w:rPr>
                <w:color w:val="434343"/>
                <w:rtl w:val="0"/>
              </w:rPr>
              <w:t xml:space="preserve">Which fields are optional and mandatory.</w:t>
            </w:r>
          </w:p>
          <w:p w:rsidR="00000000" w:rsidDel="00000000" w:rsidP="00000000" w:rsidRDefault="00000000" w:rsidRPr="00000000" w14:paraId="00000028">
            <w:pPr>
              <w:numPr>
                <w:ilvl w:val="0"/>
                <w:numId w:val="10"/>
              </w:numPr>
              <w:spacing w:after="200" w:line="360" w:lineRule="auto"/>
              <w:ind w:left="720" w:hanging="360"/>
              <w:rPr>
                <w:color w:val="434343"/>
              </w:rPr>
            </w:pPr>
            <w:r w:rsidDel="00000000" w:rsidR="00000000" w:rsidRPr="00000000">
              <w:rPr>
                <w:color w:val="434343"/>
                <w:rtl w:val="0"/>
              </w:rPr>
              <w:t xml:space="preserve">How programs are integrated with others in the business, for example, whether data for marketing campaigns or customer service feeds through to your CRM. What does this mean for them?</w:t>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9">
            <w:pPr>
              <w:spacing w:after="0" w:before="240" w:line="360" w:lineRule="auto"/>
              <w:rPr>
                <w:b w:val="1"/>
                <w:color w:val="ffffff"/>
              </w:rPr>
            </w:pPr>
            <w:r w:rsidDel="00000000" w:rsidR="00000000" w:rsidRPr="00000000">
              <w:rPr>
                <w:b w:val="1"/>
                <w:color w:val="ffffff"/>
                <w:rtl w:val="0"/>
              </w:rPr>
              <w:t xml:space="preserve">8. Compensation plan and commission structure</w:t>
            </w:r>
          </w:p>
        </w:tc>
      </w:tr>
      <w:tr>
        <w:trPr>
          <w:cantSplit w:val="0"/>
          <w:trHeight w:val="217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numPr>
                <w:ilvl w:val="0"/>
                <w:numId w:val="2"/>
              </w:numPr>
              <w:spacing w:after="200" w:before="0" w:line="360" w:lineRule="auto"/>
              <w:ind w:left="720" w:hanging="360"/>
              <w:rPr>
                <w:color w:val="434343"/>
                <w:u w:val="none"/>
              </w:rPr>
            </w:pPr>
            <w:r w:rsidDel="00000000" w:rsidR="00000000" w:rsidRPr="00000000">
              <w:rPr>
                <w:color w:val="434343"/>
                <w:rtl w:val="0"/>
              </w:rPr>
              <w:t xml:space="preserve"> SPIF (sales performance incentive formula); for example: salary only, commission only, base plus bonus.</w:t>
            </w:r>
          </w:p>
          <w:p w:rsidR="00000000" w:rsidDel="00000000" w:rsidP="00000000" w:rsidRDefault="00000000" w:rsidRPr="00000000" w14:paraId="0000002B">
            <w:pPr>
              <w:numPr>
                <w:ilvl w:val="0"/>
                <w:numId w:val="2"/>
              </w:numPr>
              <w:spacing w:after="200" w:line="360" w:lineRule="auto"/>
              <w:ind w:left="720" w:hanging="360"/>
              <w:rPr>
                <w:color w:val="434343"/>
                <w:u w:val="none"/>
              </w:rPr>
            </w:pPr>
            <w:r w:rsidDel="00000000" w:rsidR="00000000" w:rsidRPr="00000000">
              <w:rPr>
                <w:color w:val="434343"/>
                <w:rtl w:val="0"/>
              </w:rPr>
              <w:t xml:space="preserve">Examples of calculations for context.</w:t>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C">
            <w:pPr>
              <w:spacing w:after="0" w:before="240" w:line="360" w:lineRule="auto"/>
              <w:rPr>
                <w:b w:val="1"/>
                <w:color w:val="ffffff"/>
              </w:rPr>
            </w:pPr>
            <w:r w:rsidDel="00000000" w:rsidR="00000000" w:rsidRPr="00000000">
              <w:rPr>
                <w:b w:val="1"/>
                <w:color w:val="ffffff"/>
                <w:rtl w:val="0"/>
              </w:rPr>
              <w:t xml:space="preserve">9. Messaging</w:t>
            </w:r>
          </w:p>
        </w:tc>
      </w:tr>
      <w:tr>
        <w:trPr>
          <w:cantSplit w:val="0"/>
          <w:trHeight w:val="165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numPr>
                <w:ilvl w:val="0"/>
                <w:numId w:val="3"/>
              </w:numPr>
              <w:spacing w:after="200" w:line="360" w:lineRule="auto"/>
              <w:ind w:left="720" w:hanging="360"/>
              <w:rPr>
                <w:color w:val="434343"/>
                <w:u w:val="none"/>
              </w:rPr>
            </w:pPr>
            <w:r w:rsidDel="00000000" w:rsidR="00000000" w:rsidRPr="00000000">
              <w:rPr>
                <w:color w:val="434343"/>
                <w:rtl w:val="0"/>
              </w:rPr>
              <w:t xml:space="preserve">Including email templates, positioning statements, calling and voicemail scripts, common objections and how to handle them, meeting agendas, presentation decks.</w:t>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E">
            <w:pPr>
              <w:spacing w:after="0" w:before="240" w:line="360" w:lineRule="auto"/>
              <w:rPr>
                <w:b w:val="1"/>
                <w:color w:val="ffffff"/>
              </w:rPr>
            </w:pPr>
            <w:r w:rsidDel="00000000" w:rsidR="00000000" w:rsidRPr="00000000">
              <w:rPr>
                <w:b w:val="1"/>
                <w:color w:val="ffffff"/>
                <w:rtl w:val="0"/>
              </w:rPr>
              <w:t xml:space="preserve">10. Supporting content and resources</w:t>
            </w:r>
          </w:p>
        </w:tc>
      </w:tr>
      <w:tr>
        <w:trPr>
          <w:cantSplit w:val="0"/>
          <w:trHeight w:val="237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numPr>
                <w:ilvl w:val="0"/>
                <w:numId w:val="1"/>
              </w:numPr>
              <w:spacing w:after="200" w:before="0" w:line="360" w:lineRule="auto"/>
              <w:ind w:left="720" w:hanging="360"/>
              <w:rPr>
                <w:color w:val="434343"/>
                <w:u w:val="none"/>
              </w:rPr>
            </w:pPr>
            <w:r w:rsidDel="00000000" w:rsidR="00000000" w:rsidRPr="00000000">
              <w:rPr>
                <w:color w:val="434343"/>
                <w:rtl w:val="0"/>
              </w:rPr>
              <w:t xml:space="preserve">Where to find, and how/when to use, case studies, testimonials, content marketing material like guides, demonstration videos and infographics.</w:t>
            </w:r>
          </w:p>
          <w:p w:rsidR="00000000" w:rsidDel="00000000" w:rsidP="00000000" w:rsidRDefault="00000000" w:rsidRPr="00000000" w14:paraId="00000030">
            <w:pPr>
              <w:numPr>
                <w:ilvl w:val="0"/>
                <w:numId w:val="1"/>
              </w:numPr>
              <w:spacing w:after="200" w:line="360" w:lineRule="auto"/>
              <w:ind w:left="720" w:hanging="360"/>
              <w:rPr>
                <w:color w:val="434343"/>
                <w:u w:val="none"/>
              </w:rPr>
            </w:pPr>
            <w:r w:rsidDel="00000000" w:rsidR="00000000" w:rsidRPr="00000000">
              <w:rPr>
                <w:color w:val="434343"/>
                <w:rtl w:val="0"/>
              </w:rPr>
              <w:t xml:space="preserve">Tip: if you have lots of resources, you might want to split this by internal and external-facing resources.</w:t>
            </w:r>
          </w:p>
          <w:p w:rsidR="00000000" w:rsidDel="00000000" w:rsidP="00000000" w:rsidRDefault="00000000" w:rsidRPr="00000000" w14:paraId="00000031">
            <w:pPr>
              <w:spacing w:after="200" w:line="360" w:lineRule="auto"/>
              <w:rPr>
                <w:color w:val="434343"/>
              </w:rPr>
            </w:pPr>
            <w:r w:rsidDel="00000000" w:rsidR="00000000" w:rsidRPr="00000000">
              <w:rPr>
                <w:rtl w:val="0"/>
              </w:rPr>
            </w:r>
          </w:p>
          <w:p w:rsidR="00000000" w:rsidDel="00000000" w:rsidP="00000000" w:rsidRDefault="00000000" w:rsidRPr="00000000" w14:paraId="00000032">
            <w:pPr>
              <w:spacing w:after="200" w:line="360" w:lineRule="auto"/>
              <w:rPr>
                <w:color w:val="434343"/>
              </w:rPr>
            </w:pPr>
            <w:r w:rsidDel="00000000" w:rsidR="00000000" w:rsidRPr="00000000">
              <w:rPr>
                <w:rtl w:val="0"/>
              </w:rPr>
            </w:r>
          </w:p>
          <w:p w:rsidR="00000000" w:rsidDel="00000000" w:rsidP="00000000" w:rsidRDefault="00000000" w:rsidRPr="00000000" w14:paraId="00000033">
            <w:pPr>
              <w:spacing w:after="200" w:line="360" w:lineRule="auto"/>
              <w:rPr>
                <w:color w:val="434343"/>
              </w:rPr>
            </w:pPr>
            <w:r w:rsidDel="00000000" w:rsidR="00000000" w:rsidRPr="00000000">
              <w:rPr>
                <w:rtl w:val="0"/>
              </w:rPr>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4">
            <w:pPr>
              <w:spacing w:after="0" w:before="240" w:line="360" w:lineRule="auto"/>
              <w:rPr>
                <w:b w:val="1"/>
                <w:color w:val="ffffff"/>
              </w:rPr>
            </w:pPr>
            <w:r w:rsidDel="00000000" w:rsidR="00000000" w:rsidRPr="00000000">
              <w:rPr>
                <w:b w:val="1"/>
                <w:color w:val="ffffff"/>
                <w:rtl w:val="0"/>
              </w:rPr>
              <w:t xml:space="preserve">11. KPIs</w:t>
            </w:r>
          </w:p>
        </w:tc>
      </w:tr>
      <w:tr>
        <w:trPr>
          <w:cantSplit w:val="0"/>
          <w:trHeight w:val="142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numPr>
                <w:ilvl w:val="0"/>
                <w:numId w:val="5"/>
              </w:numPr>
              <w:spacing w:after="0" w:line="360" w:lineRule="auto"/>
              <w:ind w:left="720" w:hanging="360"/>
              <w:rPr>
                <w:color w:val="434343"/>
                <w:u w:val="none"/>
              </w:rPr>
            </w:pPr>
            <w:r w:rsidDel="00000000" w:rsidR="00000000" w:rsidRPr="00000000">
              <w:rPr>
                <w:color w:val="434343"/>
                <w:rtl w:val="0"/>
              </w:rPr>
              <w:t xml:space="preserve">Baseline deliverables: quotas to be hit; metrics that are tracked by sales managers.</w:t>
            </w:r>
            <w:r w:rsidDel="00000000" w:rsidR="00000000" w:rsidRPr="00000000">
              <w:rPr>
                <w:rtl w:val="0"/>
              </w:rPr>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6">
            <w:pPr>
              <w:spacing w:after="0" w:before="240" w:line="360" w:lineRule="auto"/>
              <w:rPr>
                <w:b w:val="1"/>
                <w:color w:val="ffffff"/>
              </w:rPr>
            </w:pPr>
            <w:r w:rsidDel="00000000" w:rsidR="00000000" w:rsidRPr="00000000">
              <w:rPr>
                <w:b w:val="1"/>
                <w:color w:val="ffffff"/>
                <w:rtl w:val="0"/>
              </w:rPr>
              <w:t xml:space="preserve">12. Examples of ‘good performance’</w:t>
            </w:r>
          </w:p>
        </w:tc>
      </w:tr>
      <w:tr>
        <w:trPr>
          <w:cantSplit w:val="0"/>
          <w:trHeight w:val="144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numPr>
                <w:ilvl w:val="0"/>
                <w:numId w:val="7"/>
              </w:numPr>
              <w:spacing w:after="120" w:line="360" w:lineRule="auto"/>
              <w:ind w:left="720" w:hanging="360"/>
              <w:rPr>
                <w:color w:val="434343"/>
                <w:u w:val="none"/>
              </w:rPr>
            </w:pPr>
            <w:r w:rsidDel="00000000" w:rsidR="00000000" w:rsidRPr="00000000">
              <w:rPr>
                <w:color w:val="434343"/>
                <w:rtl w:val="0"/>
              </w:rPr>
              <w:t xml:space="preserve">Aspirational examples of excellence; examples of poor performance.</w:t>
            </w:r>
          </w:p>
        </w:tc>
      </w:tr>
    </w:tbl>
    <w:p w:rsidR="00000000" w:rsidDel="00000000" w:rsidP="00000000" w:rsidRDefault="00000000" w:rsidRPr="00000000" w14:paraId="00000038">
      <w:pPr>
        <w:spacing w:after="240" w:before="24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playbook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