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nfzq69zbwi0x" w:id="0"/>
      <w:bookmarkEnd w:id="0"/>
      <w:r w:rsidDel="00000000" w:rsidR="00000000" w:rsidRPr="00000000">
        <w:rPr>
          <w:rFonts w:ascii="Poppins" w:cs="Poppins" w:eastAsia="Poppins" w:hAnsi="Poppins"/>
          <w:rtl w:val="0"/>
        </w:rPr>
        <w:t xml:space="preserve">The Kano model framework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Need to prioritize your work based on the features your users are most likely to love? No problem… </w:t>
      </w:r>
    </w:p>
    <w:p w:rsidR="00000000" w:rsidDel="00000000" w:rsidP="00000000" w:rsidRDefault="00000000" w:rsidRPr="00000000" w14:paraId="00000004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Kano Model (pronounced “Kah-no”) is engineered to help you achieve just that. This prioritization framework helps product teams rank each initiative on a product roadmap according to its likelihood to satisfy users.</w:t>
      </w:r>
    </w:p>
    <w:p w:rsidR="00000000" w:rsidDel="00000000" w:rsidP="00000000" w:rsidRDefault="00000000" w:rsidRPr="00000000" w14:paraId="00000005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Using this model, you can compile a priority list of all the potential new features vying for roadmap space and development resources. The model works by allowing you to accurately weigh any potential feature according to a couple of competing criteria: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line="36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How likely the feature is to completely satisfy users.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="36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resources and investment required to implement it.</w:t>
      </w:r>
    </w:p>
    <w:p w:rsidR="00000000" w:rsidDel="00000000" w:rsidP="00000000" w:rsidRDefault="00000000" w:rsidRPr="00000000" w14:paraId="00000008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You’re essentially taking a “user satisfaction vs investment required” approach while focusing on three categories of initiatives that you’ll want to develop. So, let’s break these down:</w:t>
      </w:r>
    </w:p>
    <w:p w:rsidR="00000000" w:rsidDel="00000000" w:rsidP="00000000" w:rsidRDefault="00000000" w:rsidRPr="00000000" w14:paraId="00000009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dae5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Must-haves or basic features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5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Performance features</w:t>
            </w:r>
          </w:p>
        </w:tc>
        <w:tc>
          <w:tcPr>
            <w:shd w:fill="dae5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Excitement features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431.99999999999994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These are features needed to be competitive.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431.99999999999994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Users expect these and without them, they won’t even consider the product as a solution.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431.99999999999994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The more investment you pour into these features, the higher level of user satisfaction you’ll get in return.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431.99999999999994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These types of features can be seen as quite “one-dimensional”. Due to the linear correlation between investment and the amount of satisfaction delivered.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431.99999999999994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These features and initiatives can be seen as “nice-to-haves.” They yield a disproportionate increase in user satisfaction based on the investment.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431.99999999999994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Users might not even notice these missing features but they can generate excitement and dramatic user delight if you choose to invest.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Make your decisions on which new feature belongs in which category.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Once you’ve done this, go ahead and take the issue directly to users/potential users with surveys, questionnaires, and other feedback methods.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model is super effective if your team is in need of a little guidance when it comes to: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Deciding on the minimum-threshold features you HAVE to build.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Choosing which performance features to immediately start investing in.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6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And which exciting features will deliver the most satisfaction for your money.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Kano Model is a super useful framework for product teams with limited time and resources who are looking for an effective approach to feature prioritization.</w:t>
      </w:r>
    </w:p>
    <w:p w:rsidR="00000000" w:rsidDel="00000000" w:rsidP="00000000" w:rsidRDefault="00000000" w:rsidRPr="00000000" w14:paraId="00000026">
      <w:pPr>
        <w:spacing w:after="240" w:before="240" w:line="276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rtl w:val="0"/>
        </w:rPr>
        <w:t xml:space="preserve">P.s.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 We've got a whole course on </w:t>
      </w:r>
      <w:hyperlink r:id="rId6">
        <w:r w:rsidDel="00000000" w:rsidR="00000000" w:rsidRPr="00000000">
          <w:rPr>
            <w:rFonts w:ascii="Poppins" w:cs="Poppins" w:eastAsia="Poppins" w:hAnsi="Poppins"/>
            <w:i w:val="1"/>
            <w:color w:val="1155cc"/>
            <w:u w:val="single"/>
            <w:rtl w:val="0"/>
          </w:rPr>
          <w:t xml:space="preserve">Go-to-Market</w:t>
        </w:r>
      </w:hyperlink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, too. Don't forget to use your members’ exclusive discount code for 10% off.</w:t>
      </w: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-938211</wp:posOffset>
          </wp:positionH>
          <wp:positionV relativeFrom="paragraph">
            <wp:posOffset>-457197</wp:posOffset>
          </wp:positionV>
          <wp:extent cx="10063163" cy="1507636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63163" cy="15076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rFonts w:ascii="Helvetica Neue" w:cs="Helvetica Neue" w:eastAsia="Helvetica Neue" w:hAnsi="Helvetica Neue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rFonts w:ascii="Helvetica Neue" w:cs="Helvetica Neue" w:eastAsia="Helvetica Neue" w:hAnsi="Helvetica Neue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ertified.productmarketingalliance.com/p/go-to-market-certified?utm_source=misc&amp;utm_medium=resources&amp;utm_campaign=gtm-course-template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