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CI for Marketing: Competitive positioning reference doc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rFonts w:ascii="Poppins" w:cs="Poppins" w:eastAsia="Poppins" w:hAnsi="Poppins"/>
          <w:color w:val="000000"/>
        </w:rPr>
      </w:pPr>
      <w:bookmarkStart w:colFirst="0" w:colLast="0" w:name="_xx18hv65rr19" w:id="0"/>
      <w:bookmarkEnd w:id="0"/>
      <w:r w:rsidDel="00000000" w:rsidR="00000000" w:rsidRPr="00000000">
        <w:rPr>
          <w:rFonts w:ascii="Poppins" w:cs="Poppins" w:eastAsia="Poppins" w:hAnsi="Poppins"/>
          <w:color w:val="000000"/>
          <w:rtl w:val="0"/>
        </w:rPr>
        <w:t xml:space="preserve">ℹ️ About this resource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You’ll refer back to this anchor document when supporting your fellow marketers with new product launches, content campaigns, SEO strategy, or analyst briefings.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5466.710156250001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Acknowledge</w:t>
            </w: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 major competitive alternatives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1984.251968503937" w:right="1718.385826771655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[Legacy Competitor] was a great product for … but their approach hasn’t kept up with the need for …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1984.251968503937" w:right="1718.385826771655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[New Competitor] has created some buzz with … but they’re only solving for a fraction of the problem …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1434.9212598425208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left="72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666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Reframe</w:t>
            </w: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: How we see the world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1984.251968503937" w:right="1293.1889763779536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might be good for … [outdated or trivial problem]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1984.251968503937" w:right="1293.1889763779536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But we help teams with … [bigger and more important problems].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1984.251968503937" w:right="1293.1889763779536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With [competitor], customers might be limited by…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1984.251968503937" w:right="1293.1889763779536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would you handle…?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1984.251968503937" w:right="1293.1889763779536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are you ensuring…?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72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7812.9785156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Specify</w:t>
            </w: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: Key product moments to emphasize (3-4)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Product moment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Short caption… why it’s different… why customers love it...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470.0" w:type="dxa"/>
              <w:jc w:val="center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470"/>
              <w:tblGridChange w:id="0">
                <w:tblGrid>
                  <w:gridCol w:w="7470"/>
                </w:tblGrid>
              </w:tblGridChange>
            </w:tblGrid>
            <w:tr>
              <w:trPr>
                <w:cantSplit w:val="0"/>
                <w:trHeight w:val="4335" w:hRule="atLeast"/>
                <w:tblHeader w:val="0"/>
              </w:trPr>
              <w:tc>
                <w:tcPr>
                  <w:shd w:fill="66666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>
                      <w:rFonts w:ascii="Poppins" w:cs="Poppins" w:eastAsia="Poppins" w:hAnsi="Poppins"/>
                    </w:rPr>
                  </w:pPr>
                  <w:r w:rsidDel="00000000" w:rsidR="00000000" w:rsidRPr="00000000">
                    <w:rPr>
                      <w:rFonts w:ascii="Poppins" w:cs="Poppins" w:eastAsia="Poppins" w:hAnsi="Poppins"/>
                      <w:rtl w:val="0"/>
                    </w:rPr>
                    <w:t xml:space="preserve">Product screenshot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Product moment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Short caption… why it’s different… why customers love it...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470.0" w:type="dxa"/>
              <w:jc w:val="center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470"/>
              <w:tblGridChange w:id="0">
                <w:tblGrid>
                  <w:gridCol w:w="7470"/>
                </w:tblGrid>
              </w:tblGridChange>
            </w:tblGrid>
            <w:tr>
              <w:trPr>
                <w:cantSplit w:val="0"/>
                <w:trHeight w:val="4335" w:hRule="atLeast"/>
                <w:tblHeader w:val="0"/>
              </w:trPr>
              <w:tc>
                <w:tcPr>
                  <w:shd w:fill="66666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rFonts w:ascii="Poppins" w:cs="Poppins" w:eastAsia="Poppins" w:hAnsi="Poppins"/>
                    </w:rPr>
                  </w:pPr>
                  <w:r w:rsidDel="00000000" w:rsidR="00000000" w:rsidRPr="00000000">
                    <w:rPr>
                      <w:rFonts w:ascii="Poppins" w:cs="Poppins" w:eastAsia="Poppins" w:hAnsi="Poppins"/>
                      <w:rtl w:val="0"/>
                    </w:rPr>
                    <w:t xml:space="preserve">Product screenshot 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Product moment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Short caption… why it’s different… why customers love it...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470.0" w:type="dxa"/>
              <w:jc w:val="center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470"/>
              <w:tblGridChange w:id="0">
                <w:tblGrid>
                  <w:gridCol w:w="7470"/>
                </w:tblGrid>
              </w:tblGridChange>
            </w:tblGrid>
            <w:tr>
              <w:trPr>
                <w:cantSplit w:val="0"/>
                <w:trHeight w:val="4335" w:hRule="atLeast"/>
                <w:tblHeader w:val="0"/>
              </w:trPr>
              <w:tc>
                <w:tcPr>
                  <w:shd w:fill="66666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>
                      <w:rFonts w:ascii="Poppins" w:cs="Poppins" w:eastAsia="Poppins" w:hAnsi="Poppins"/>
                    </w:rPr>
                  </w:pPr>
                  <w:r w:rsidDel="00000000" w:rsidR="00000000" w:rsidRPr="00000000">
                    <w:rPr>
                      <w:rFonts w:ascii="Poppins" w:cs="Poppins" w:eastAsia="Poppins" w:hAnsi="Poppins"/>
                      <w:rtl w:val="0"/>
                    </w:rPr>
                    <w:t xml:space="preserve">Product screenshot 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72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363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Specific terms to avoid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do not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compete in the … product category.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Don’t use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the term … when referring to our products, since that term is associated with a competitor product …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72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P.s.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 We've got a whole course on </w:t>
      </w:r>
      <w:hyperlink r:id="rId6">
        <w:r w:rsidDel="00000000" w:rsidR="00000000" w:rsidRPr="00000000">
          <w:rPr>
            <w:rFonts w:ascii="Poppins" w:cs="Poppins" w:eastAsia="Poppins" w:hAnsi="Poppins"/>
            <w:i w:val="1"/>
            <w:color w:val="1155cc"/>
            <w:u w:val="single"/>
            <w:rtl w:val="0"/>
          </w:rPr>
          <w:t xml:space="preserve">Positioning</w:t>
        </w:r>
      </w:hyperlink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, too.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0" w:top="1440" w:left="720" w:righ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ind w:left="-72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0</wp:posOffset>
          </wp:positionV>
          <wp:extent cx="7821599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1599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ertified.productmarketingalliance.com/p/positioning-certified?utm_source=misc&amp;utm_medium=resources&amp;utm_campaign=positioning-course-templat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